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375D6" w14:textId="77777777" w:rsidR="00181022" w:rsidRDefault="00181022">
      <w:pPr>
        <w:pStyle w:val="BodyText"/>
        <w:spacing w:before="6"/>
        <w:rPr>
          <w:rFonts w:ascii="Times New Roman"/>
          <w:sz w:val="39"/>
        </w:rPr>
      </w:pPr>
    </w:p>
    <w:p w14:paraId="313C79D8" w14:textId="77777777" w:rsidR="00181022" w:rsidRPr="008D78FB" w:rsidRDefault="008D78FB" w:rsidP="008D78FB">
      <w:pPr>
        <w:pStyle w:val="Heading1"/>
        <w:spacing w:before="1"/>
        <w:ind w:left="241" w:right="-61"/>
        <w:rPr>
          <w:sz w:val="28"/>
          <w:szCs w:val="28"/>
        </w:rPr>
      </w:pPr>
      <w:r w:rsidRPr="008D78FB">
        <w:rPr>
          <w:color w:val="4475A0"/>
          <w:sz w:val="28"/>
          <w:szCs w:val="28"/>
        </w:rPr>
        <w:t>Informações sobre os medicamentos</w:t>
      </w:r>
    </w:p>
    <w:p w14:paraId="781B2AE8" w14:textId="77777777" w:rsidR="00181022" w:rsidRDefault="008D78FB">
      <w:pPr>
        <w:pStyle w:val="Heading2"/>
        <w:spacing w:before="66"/>
      </w:pPr>
      <w:r>
        <w:br w:type="column"/>
      </w:r>
      <w:r>
        <w:rPr>
          <w:color w:val="4475A0"/>
        </w:rPr>
        <w:t>Corticosteroide administrado por inalação - Budesonida</w:t>
      </w:r>
    </w:p>
    <w:p w14:paraId="454A0582" w14:textId="77777777" w:rsidR="00181022" w:rsidRDefault="00181022">
      <w:pPr>
        <w:sectPr w:rsidR="00181022">
          <w:headerReference w:type="default" r:id="rId7"/>
          <w:footerReference w:type="default" r:id="rId8"/>
          <w:type w:val="continuous"/>
          <w:pgSz w:w="11910" w:h="16840"/>
          <w:pgMar w:top="2760" w:right="1020" w:bottom="2100" w:left="1160" w:header="2465" w:footer="1916" w:gutter="0"/>
          <w:pgNumType w:start="1"/>
          <w:cols w:num="2" w:space="720" w:equalWidth="0">
            <w:col w:w="2491" w:space="60"/>
            <w:col w:w="7179"/>
          </w:cols>
        </w:sectPr>
      </w:pPr>
    </w:p>
    <w:p w14:paraId="43C2368D" w14:textId="77777777" w:rsidR="00181022" w:rsidRDefault="008D78FB">
      <w:pPr>
        <w:spacing w:before="134"/>
        <w:ind w:left="241"/>
        <w:rPr>
          <w:sz w:val="27"/>
        </w:rPr>
      </w:pPr>
      <w:r>
        <w:t>Budesonida é um corticosteroide administrado por inalação muito utilizado no tratamento dos sintomas de asma,</w:t>
      </w:r>
    </w:p>
    <w:p w14:paraId="0CB38F66" w14:textId="77777777" w:rsidR="00181022" w:rsidRDefault="008D78FB">
      <w:pPr>
        <w:pStyle w:val="BodyText"/>
        <w:spacing w:before="71"/>
        <w:ind w:left="241"/>
        <w:rPr>
          <w:rFonts w:ascii="Segoe UI"/>
        </w:rPr>
      </w:pPr>
      <w:r>
        <w:t>no entanto, atualmente não é ut</w:t>
      </w:r>
      <w:r>
        <w:t>ilizado para tratar infeções, tais como, a COVID-19.</w:t>
      </w:r>
    </w:p>
    <w:p w14:paraId="5F90FD2A" w14:textId="77777777" w:rsidR="00181022" w:rsidRDefault="00181022">
      <w:pPr>
        <w:pStyle w:val="BodyText"/>
        <w:rPr>
          <w:rFonts w:ascii="Segoe UI"/>
          <w:sz w:val="30"/>
        </w:rPr>
      </w:pPr>
    </w:p>
    <w:p w14:paraId="584D2E8A" w14:textId="77777777" w:rsidR="00181022" w:rsidRDefault="008D78FB">
      <w:pPr>
        <w:pStyle w:val="Heading1"/>
        <w:spacing w:before="225"/>
        <w:ind w:left="241"/>
      </w:pPr>
      <w:r>
        <w:rPr>
          <w:color w:val="4475A0"/>
        </w:rPr>
        <w:t>Efeitos secundários</w:t>
      </w:r>
    </w:p>
    <w:p w14:paraId="23FF4EC2" w14:textId="77777777" w:rsidR="00181022" w:rsidRDefault="008D78FB">
      <w:pPr>
        <w:spacing w:before="138" w:line="393" w:lineRule="auto"/>
        <w:ind w:left="241" w:right="6228"/>
        <w:rPr>
          <w:sz w:val="21"/>
        </w:rPr>
      </w:pPr>
      <w:r>
        <w:t>Os efeitos secundários frequentes são tosse imediatamente após a inalação, dor na boca e garganta</w:t>
      </w:r>
    </w:p>
    <w:p w14:paraId="147D2E2A" w14:textId="77777777" w:rsidR="00181022" w:rsidRDefault="008D78FB">
      <w:pPr>
        <w:spacing w:before="6"/>
        <w:ind w:left="241"/>
        <w:rPr>
          <w:sz w:val="21"/>
        </w:rPr>
      </w:pPr>
      <w:r>
        <w:rPr>
          <w:sz w:val="21"/>
        </w:rPr>
        <w:t>voz rouca</w:t>
      </w:r>
    </w:p>
    <w:p w14:paraId="2160B1E3" w14:textId="77777777" w:rsidR="00181022" w:rsidRDefault="008D78FB">
      <w:pPr>
        <w:spacing w:before="171"/>
        <w:ind w:left="241"/>
        <w:rPr>
          <w:sz w:val="21"/>
        </w:rPr>
      </w:pPr>
      <w:r>
        <w:rPr>
          <w:sz w:val="21"/>
        </w:rPr>
        <w:t>candidíase oral (aftas).</w:t>
      </w:r>
    </w:p>
    <w:p w14:paraId="159526E3" w14:textId="77777777" w:rsidR="00181022" w:rsidRDefault="00181022">
      <w:pPr>
        <w:rPr>
          <w:sz w:val="21"/>
        </w:rPr>
        <w:sectPr w:rsidR="00181022">
          <w:type w:val="continuous"/>
          <w:pgSz w:w="11910" w:h="16840"/>
          <w:pgMar w:top="2760" w:right="1020" w:bottom="2100" w:left="1160" w:header="720" w:footer="720" w:gutter="0"/>
          <w:cols w:space="720"/>
        </w:sectPr>
      </w:pPr>
    </w:p>
    <w:p w14:paraId="160188A4" w14:textId="77777777" w:rsidR="00181022" w:rsidRDefault="00181022">
      <w:pPr>
        <w:pStyle w:val="BodyText"/>
        <w:spacing w:before="1"/>
        <w:rPr>
          <w:sz w:val="12"/>
        </w:rPr>
      </w:pPr>
    </w:p>
    <w:p w14:paraId="53E3BB91" w14:textId="77777777" w:rsidR="00181022" w:rsidRDefault="00181022">
      <w:pPr>
        <w:rPr>
          <w:sz w:val="12"/>
        </w:rPr>
        <w:sectPr w:rsidR="00181022" w:rsidSect="008D78FB">
          <w:headerReference w:type="default" r:id="rId9"/>
          <w:footerReference w:type="default" r:id="rId10"/>
          <w:pgSz w:w="11910" w:h="16840"/>
          <w:pgMar w:top="2480" w:right="1020" w:bottom="1400" w:left="1160" w:header="1276" w:footer="1215" w:gutter="0"/>
          <w:pgNumType w:start="2"/>
          <w:cols w:space="720"/>
        </w:sectPr>
      </w:pPr>
    </w:p>
    <w:p w14:paraId="629F8829" w14:textId="77777777" w:rsidR="00181022" w:rsidRDefault="00181022">
      <w:pPr>
        <w:pStyle w:val="BodyText"/>
        <w:rPr>
          <w:sz w:val="22"/>
        </w:rPr>
      </w:pPr>
    </w:p>
    <w:p w14:paraId="1D37689C" w14:textId="77777777" w:rsidR="00181022" w:rsidRPr="008D78FB" w:rsidRDefault="008D78FB">
      <w:pPr>
        <w:spacing w:before="177"/>
        <w:ind w:left="241"/>
        <w:rPr>
          <w:b/>
          <w:i/>
          <w:szCs w:val="20"/>
        </w:rPr>
      </w:pPr>
      <w:r w:rsidRPr="008D78FB">
        <w:rPr>
          <w:b/>
          <w:i/>
          <w:szCs w:val="20"/>
        </w:rPr>
        <w:t>Informações sobre os medicamentos</w:t>
      </w:r>
    </w:p>
    <w:p w14:paraId="71B4E8BC" w14:textId="77777777" w:rsidR="00181022" w:rsidRDefault="008D78FB" w:rsidP="008D78FB">
      <w:pPr>
        <w:spacing w:before="48"/>
        <w:ind w:left="142" w:hanging="142"/>
        <w:rPr>
          <w:b/>
          <w:i/>
          <w:sz w:val="27"/>
        </w:rPr>
      </w:pPr>
      <w:r>
        <w:br w:type="column"/>
      </w:r>
      <w:r>
        <w:rPr>
          <w:b/>
          <w:i/>
          <w:color w:val="4475A0"/>
          <w:sz w:val="27"/>
        </w:rPr>
        <w:t>Colchicina</w:t>
      </w:r>
    </w:p>
    <w:p w14:paraId="445159C0" w14:textId="77777777" w:rsidR="00181022" w:rsidRDefault="00181022">
      <w:pPr>
        <w:rPr>
          <w:sz w:val="27"/>
        </w:rPr>
        <w:sectPr w:rsidR="00181022">
          <w:type w:val="continuous"/>
          <w:pgSz w:w="11910" w:h="16840"/>
          <w:pgMar w:top="2760" w:right="1020" w:bottom="2100" w:left="1160" w:header="720" w:footer="720" w:gutter="0"/>
          <w:cols w:num="2" w:space="720" w:equalWidth="0">
            <w:col w:w="1970" w:space="2019"/>
            <w:col w:w="5741"/>
          </w:cols>
        </w:sectPr>
      </w:pPr>
    </w:p>
    <w:p w14:paraId="7FECF27D" w14:textId="77777777" w:rsidR="00181022" w:rsidRDefault="008D78FB">
      <w:pPr>
        <w:pStyle w:val="BodyText"/>
        <w:spacing w:before="116" w:line="290" w:lineRule="auto"/>
        <w:ind w:left="241" w:right="373"/>
        <w:jc w:val="both"/>
      </w:pPr>
      <w:r>
        <w:t>A colchicina é um medicamento aprovado e amplamente utilizado no Reino Unido pa</w:t>
      </w:r>
      <w:r>
        <w:t>ra o tratamento de crises agudas de gota. Embora, atualmente, não seja utilizada para tratar infeções, tais como, a COVID-19, tem sido investigada como um tratamento potencial para a COVID-19.</w:t>
      </w:r>
    </w:p>
    <w:p w14:paraId="401F9A26" w14:textId="77777777" w:rsidR="00181022" w:rsidRDefault="00181022">
      <w:pPr>
        <w:pStyle w:val="BodyText"/>
        <w:rPr>
          <w:sz w:val="22"/>
        </w:rPr>
      </w:pPr>
    </w:p>
    <w:p w14:paraId="17697DA6" w14:textId="77777777" w:rsidR="00181022" w:rsidRDefault="008D78FB" w:rsidP="008D78FB">
      <w:pPr>
        <w:pStyle w:val="Heading4"/>
        <w:jc w:val="both"/>
      </w:pPr>
      <w:r>
        <w:t>Administração e dose de colchicina</w:t>
      </w:r>
    </w:p>
    <w:p w14:paraId="4505F49D" w14:textId="77777777" w:rsidR="00181022" w:rsidRDefault="008D78FB">
      <w:pPr>
        <w:pStyle w:val="BodyText"/>
        <w:spacing w:before="175" w:line="288" w:lineRule="auto"/>
        <w:ind w:left="241" w:right="370"/>
      </w:pPr>
      <w:r>
        <w:t>A colchicina é um novo trat</w:t>
      </w:r>
      <w:r>
        <w:t>amento potencial para a COVID-19, pelo que a dose mais eficaz é desconhecida. Estudos, tal como este, estão a tentar descobrir como o tratamento funciona bem.</w:t>
      </w:r>
    </w:p>
    <w:p w14:paraId="1086046E" w14:textId="77777777" w:rsidR="00181022" w:rsidRDefault="008D78FB">
      <w:pPr>
        <w:spacing w:before="66" w:line="290" w:lineRule="auto"/>
        <w:ind w:left="241" w:right="370"/>
        <w:rPr>
          <w:b/>
          <w:sz w:val="23"/>
        </w:rPr>
      </w:pPr>
      <w:r>
        <w:rPr>
          <w:b/>
          <w:sz w:val="23"/>
        </w:rPr>
        <w:t xml:space="preserve">No ensaio, será utilizada uma dose oral (pela boca) de um comprimido de 500 microgramas (µg) por </w:t>
      </w:r>
      <w:r>
        <w:rPr>
          <w:b/>
          <w:sz w:val="23"/>
        </w:rPr>
        <w:t>dia, durante 14 dias (14 comprimidos no total).</w:t>
      </w:r>
    </w:p>
    <w:p w14:paraId="006497D4" w14:textId="77777777" w:rsidR="00181022" w:rsidRDefault="008D78FB">
      <w:pPr>
        <w:pStyle w:val="BodyText"/>
        <w:spacing w:before="112" w:line="261" w:lineRule="auto"/>
        <w:ind w:left="241" w:right="370"/>
      </w:pPr>
      <w:r>
        <w:t>Se decidir que já não deseja tomar o medicamento, pode deixar de o tomar a qualquer momento, e levar o medicamento à sua farmácia local para que seja eliminado, quando for possível.</w:t>
      </w:r>
    </w:p>
    <w:p w14:paraId="4D7072C2" w14:textId="77777777" w:rsidR="00181022" w:rsidRDefault="00181022">
      <w:pPr>
        <w:pStyle w:val="BodyText"/>
        <w:spacing w:before="8"/>
      </w:pPr>
    </w:p>
    <w:p w14:paraId="6DEF6BBE" w14:textId="77777777" w:rsidR="00181022" w:rsidRDefault="008D78FB">
      <w:pPr>
        <w:pStyle w:val="Heading4"/>
        <w:jc w:val="both"/>
      </w:pPr>
      <w:r>
        <w:t>Tratamento potencial par</w:t>
      </w:r>
      <w:r>
        <w:t>a a COVID-19</w:t>
      </w:r>
    </w:p>
    <w:p w14:paraId="15054E1D" w14:textId="77777777" w:rsidR="00181022" w:rsidRDefault="008D78FB">
      <w:pPr>
        <w:pStyle w:val="BodyText"/>
        <w:spacing w:before="117" w:line="288" w:lineRule="auto"/>
        <w:ind w:left="241" w:right="370"/>
        <w:jc w:val="both"/>
      </w:pPr>
      <w:r>
        <w:t xml:space="preserve">Vários estudos clínicos descobriram que a colchicina pode ajudar a tratar a COVID-19. </w:t>
      </w:r>
      <w:r>
        <w:t>No entanto, precisamos de obter, a partir de grandes ensaios clínicos, maior evidência sobre se a colchicina melhora a recuperação de sintomas da COVID-19, o que pode reduzir o número de pessoas que se deslocam ao hospital com a doença. É por este motivo q</w:t>
      </w:r>
      <w:r>
        <w:t>ue incluímos o tratamento no Ensaio PRINCIPLE. A colchicina tem sido recomendada para o tratamento da COVID-19 pelo Painel Consultivo de Terapêuticas do Reino Unido para a COVID-19 (UK COVID-19 Therapeutics Advisory Panel , UK-CTAP) e foi aprovada pelo Dir</w:t>
      </w:r>
      <w:r>
        <w:t>etor-Geral da Saúde.</w:t>
      </w:r>
    </w:p>
    <w:p w14:paraId="07926C34" w14:textId="77777777" w:rsidR="00181022" w:rsidRDefault="008D78FB">
      <w:pPr>
        <w:pStyle w:val="BodyText"/>
        <w:spacing w:before="112" w:line="288" w:lineRule="auto"/>
        <w:ind w:left="241" w:right="372"/>
        <w:jc w:val="both"/>
      </w:pPr>
      <w:r>
        <w:t xml:space="preserve">A utilização de colchicina no PRINCIPLE também foi aprovada pelo Painel de Saúde Pública Urgente do Reino Unido (UK- Urgent Public Health Panel). </w:t>
      </w:r>
      <w:r>
        <w:rPr>
          <w:color w:val="0A0B0B"/>
        </w:rPr>
        <w:t>O painel é constituído por um grupo de especialistas independentes, que inclui representa</w:t>
      </w:r>
      <w:r>
        <w:rPr>
          <w:color w:val="0A0B0B"/>
        </w:rPr>
        <w:t>ntes dos doentes e profissionais de saúde dos quatro países do Reino Unido.</w:t>
      </w:r>
    </w:p>
    <w:p w14:paraId="174DCD2D" w14:textId="77777777" w:rsidR="00181022" w:rsidRDefault="00181022">
      <w:pPr>
        <w:pStyle w:val="BodyText"/>
        <w:rPr>
          <w:sz w:val="22"/>
        </w:rPr>
      </w:pPr>
    </w:p>
    <w:p w14:paraId="1EC4F95D" w14:textId="77777777" w:rsidR="00181022" w:rsidRDefault="008D78FB" w:rsidP="008D78FB">
      <w:pPr>
        <w:pStyle w:val="Heading4"/>
        <w:jc w:val="both"/>
      </w:pPr>
      <w:r>
        <w:t>Critérios de exclusão</w:t>
      </w:r>
    </w:p>
    <w:p w14:paraId="059F193D" w14:textId="77777777" w:rsidR="00181022" w:rsidRDefault="008D78FB">
      <w:pPr>
        <w:pStyle w:val="BodyText"/>
        <w:spacing w:before="115" w:line="290" w:lineRule="auto"/>
        <w:ind w:left="241" w:right="370"/>
      </w:pPr>
      <w:r>
        <w:t>Antes de ser incluído, irá ser-lhe perguntado se tem alguma das seguintes razões para NÃO tomar colchicina, e se as tiver será excluído de receber colchicina</w:t>
      </w:r>
      <w:r>
        <w:t>.</w:t>
      </w:r>
    </w:p>
    <w:p w14:paraId="4397F255" w14:textId="77777777" w:rsidR="00181022" w:rsidRDefault="00181022">
      <w:pPr>
        <w:pStyle w:val="BodyText"/>
        <w:rPr>
          <w:sz w:val="22"/>
        </w:rPr>
      </w:pPr>
    </w:p>
    <w:p w14:paraId="3738710F" w14:textId="77777777" w:rsidR="00181022" w:rsidRDefault="008D78FB" w:rsidP="008D78FB">
      <w:pPr>
        <w:pStyle w:val="Heading4"/>
      </w:pPr>
      <w:r>
        <w:t>Exclusões: Se tiver alguma das seguintes condições, não deverá tomar colchicina</w:t>
      </w:r>
    </w:p>
    <w:p w14:paraId="0B561F8C" w14:textId="77777777" w:rsidR="00181022" w:rsidRDefault="008D78FB" w:rsidP="008D78FB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before="115" w:line="244" w:lineRule="auto"/>
        <w:ind w:right="91"/>
        <w:jc w:val="left"/>
        <w:rPr>
          <w:sz w:val="23"/>
        </w:rPr>
      </w:pPr>
      <w:r>
        <w:rPr>
          <w:sz w:val="23"/>
        </w:rPr>
        <w:t>Alergia à colchicina ou a qualquer uma das seguintes substâncias inativas: lactose, amido de milho pré-gelatinizado, ácido esteárico, talco purificado, água purificada ou et</w:t>
      </w:r>
      <w:r>
        <w:rPr>
          <w:sz w:val="23"/>
        </w:rPr>
        <w:t>anol a 96%.</w:t>
      </w:r>
    </w:p>
    <w:p w14:paraId="50958A7B" w14:textId="77777777" w:rsidR="00181022" w:rsidRDefault="00181022">
      <w:pPr>
        <w:spacing w:line="244" w:lineRule="auto"/>
        <w:rPr>
          <w:sz w:val="23"/>
        </w:rPr>
      </w:pPr>
    </w:p>
    <w:p w14:paraId="02050233" w14:textId="06D57E17" w:rsidR="008D78FB" w:rsidRPr="008D78FB" w:rsidRDefault="008D78FB" w:rsidP="008D78FB">
      <w:pPr>
        <w:tabs>
          <w:tab w:val="left" w:pos="6810"/>
        </w:tabs>
        <w:rPr>
          <w:sz w:val="23"/>
        </w:rPr>
        <w:sectPr w:rsidR="008D78FB" w:rsidRPr="008D78FB" w:rsidSect="008D78FB">
          <w:type w:val="continuous"/>
          <w:pgSz w:w="11910" w:h="16840"/>
          <w:pgMar w:top="2760" w:right="1020" w:bottom="2100" w:left="1160" w:header="720" w:footer="720" w:gutter="0"/>
          <w:cols w:space="720"/>
        </w:sectPr>
      </w:pPr>
    </w:p>
    <w:p w14:paraId="3AEF98CD" w14:textId="77777777" w:rsidR="00181022" w:rsidRDefault="00181022">
      <w:pPr>
        <w:pStyle w:val="BodyText"/>
        <w:spacing w:before="1"/>
        <w:rPr>
          <w:sz w:val="18"/>
        </w:rPr>
      </w:pPr>
    </w:p>
    <w:p w14:paraId="14C5B6E9" w14:textId="77777777" w:rsidR="00181022" w:rsidRDefault="008D78FB">
      <w:pPr>
        <w:pStyle w:val="ListParagraph"/>
        <w:numPr>
          <w:ilvl w:val="0"/>
          <w:numId w:val="1"/>
        </w:numPr>
        <w:tabs>
          <w:tab w:val="left" w:pos="943"/>
        </w:tabs>
        <w:spacing w:before="56"/>
        <w:ind w:hanging="352"/>
        <w:rPr>
          <w:sz w:val="23"/>
        </w:rPr>
      </w:pPr>
      <w:r>
        <w:rPr>
          <w:sz w:val="23"/>
        </w:rPr>
        <w:t>Gravidez confirmada ou suspeita</w:t>
      </w:r>
    </w:p>
    <w:p w14:paraId="0006B23C" w14:textId="77777777" w:rsidR="00181022" w:rsidRDefault="008D78FB">
      <w:pPr>
        <w:pStyle w:val="ListParagraph"/>
        <w:numPr>
          <w:ilvl w:val="0"/>
          <w:numId w:val="1"/>
        </w:numPr>
        <w:tabs>
          <w:tab w:val="left" w:pos="943"/>
        </w:tabs>
        <w:spacing w:before="5"/>
        <w:ind w:hanging="352"/>
        <w:rPr>
          <w:sz w:val="23"/>
        </w:rPr>
      </w:pPr>
      <w:r>
        <w:rPr>
          <w:sz w:val="23"/>
        </w:rPr>
        <w:t xml:space="preserve">A amamentar </w:t>
      </w:r>
    </w:p>
    <w:p w14:paraId="1BF05402" w14:textId="77777777" w:rsidR="00181022" w:rsidRDefault="008D78FB">
      <w:pPr>
        <w:pStyle w:val="ListParagraph"/>
        <w:numPr>
          <w:ilvl w:val="0"/>
          <w:numId w:val="2"/>
        </w:numPr>
        <w:tabs>
          <w:tab w:val="left" w:pos="943"/>
        </w:tabs>
        <w:spacing w:before="4" w:line="244" w:lineRule="auto"/>
        <w:ind w:right="369"/>
        <w:rPr>
          <w:sz w:val="23"/>
        </w:rPr>
      </w:pPr>
      <w:r>
        <w:rPr>
          <w:sz w:val="23"/>
        </w:rPr>
        <w:t>Mulheres com potencial de engravidar (mulher pré-menopáusica que é anatómica e fisiologicamente capaz de engravidar) que não estejam dispostas a utilizar contraceptivos altamente efetivos durante os 28 dias de duração do ensaio.</w:t>
      </w:r>
    </w:p>
    <w:p w14:paraId="6DD38AA5" w14:textId="77777777" w:rsidR="00181022" w:rsidRDefault="008D78FB">
      <w:pPr>
        <w:pStyle w:val="ListParagraph"/>
        <w:numPr>
          <w:ilvl w:val="0"/>
          <w:numId w:val="1"/>
        </w:numPr>
        <w:tabs>
          <w:tab w:val="left" w:pos="943"/>
        </w:tabs>
        <w:spacing w:line="278" w:lineRule="exact"/>
        <w:ind w:hanging="352"/>
        <w:rPr>
          <w:sz w:val="23"/>
        </w:rPr>
      </w:pPr>
      <w:r>
        <w:rPr>
          <w:sz w:val="23"/>
        </w:rPr>
        <w:t>Discrasias sanguíneas conhe</w:t>
      </w:r>
      <w:r>
        <w:rPr>
          <w:sz w:val="23"/>
        </w:rPr>
        <w:t>cidas (um distúrbio sanguíneo)</w:t>
      </w:r>
    </w:p>
    <w:p w14:paraId="677AD313" w14:textId="77777777" w:rsidR="00181022" w:rsidRDefault="008D78FB">
      <w:pPr>
        <w:pStyle w:val="ListParagraph"/>
        <w:numPr>
          <w:ilvl w:val="0"/>
          <w:numId w:val="1"/>
        </w:numPr>
        <w:tabs>
          <w:tab w:val="left" w:pos="943"/>
        </w:tabs>
        <w:spacing w:before="6"/>
        <w:ind w:hanging="352"/>
        <w:rPr>
          <w:sz w:val="23"/>
        </w:rPr>
      </w:pPr>
      <w:r>
        <w:rPr>
          <w:sz w:val="23"/>
        </w:rPr>
        <w:t>Insuficiência renal grave conhecida ou requer diálise</w:t>
      </w:r>
    </w:p>
    <w:p w14:paraId="6E0078E9" w14:textId="77777777" w:rsidR="00181022" w:rsidRDefault="008D78FB">
      <w:pPr>
        <w:pStyle w:val="ListParagraph"/>
        <w:numPr>
          <w:ilvl w:val="0"/>
          <w:numId w:val="1"/>
        </w:numPr>
        <w:tabs>
          <w:tab w:val="left" w:pos="943"/>
        </w:tabs>
        <w:spacing w:before="4"/>
        <w:ind w:hanging="352"/>
        <w:rPr>
          <w:sz w:val="23"/>
        </w:rPr>
      </w:pPr>
      <w:r>
        <w:rPr>
          <w:sz w:val="23"/>
        </w:rPr>
        <w:t>Insuficiência hepática grave conhecida</w:t>
      </w:r>
    </w:p>
    <w:p w14:paraId="232B69E6" w14:textId="77777777" w:rsidR="00181022" w:rsidRDefault="008D78FB">
      <w:pPr>
        <w:pStyle w:val="ListParagraph"/>
        <w:numPr>
          <w:ilvl w:val="0"/>
          <w:numId w:val="2"/>
        </w:numPr>
        <w:tabs>
          <w:tab w:val="left" w:pos="943"/>
        </w:tabs>
        <w:spacing w:before="3" w:line="244" w:lineRule="auto"/>
        <w:ind w:right="372"/>
        <w:rPr>
          <w:sz w:val="23"/>
        </w:rPr>
      </w:pPr>
      <w:r>
        <w:rPr>
          <w:sz w:val="23"/>
        </w:rPr>
        <w:t>Atualmente, a tomar qualquer um dos seguintes medicamentos: colchicina, claritromicina, eritromicina, cetoconazol, itraconazol, vori</w:t>
      </w:r>
      <w:r>
        <w:rPr>
          <w:sz w:val="23"/>
        </w:rPr>
        <w:t>conazol, inibidores da da protease do VIH (por exemplo ritonavir, atazanavir), cobicistato, verapamil, diltiazem, ciclosporina, quinidina e dissulfiram.</w:t>
      </w:r>
    </w:p>
    <w:p w14:paraId="538A5BB8" w14:textId="77777777" w:rsidR="00181022" w:rsidRDefault="008D78FB">
      <w:pPr>
        <w:pStyle w:val="ListParagraph"/>
        <w:numPr>
          <w:ilvl w:val="0"/>
          <w:numId w:val="2"/>
        </w:numPr>
        <w:tabs>
          <w:tab w:val="left" w:pos="943"/>
        </w:tabs>
        <w:spacing w:line="288" w:lineRule="exact"/>
        <w:ind w:hanging="352"/>
        <w:rPr>
          <w:sz w:val="23"/>
        </w:rPr>
      </w:pPr>
      <w:r>
        <w:rPr>
          <w:sz w:val="23"/>
        </w:rPr>
        <w:t>Doença inflamatória intestinal ou diarreia crónica ou má absorção</w:t>
      </w:r>
    </w:p>
    <w:p w14:paraId="7DED8066" w14:textId="77777777" w:rsidR="00181022" w:rsidRDefault="00181022">
      <w:pPr>
        <w:pStyle w:val="BodyText"/>
        <w:spacing w:before="11"/>
      </w:pPr>
    </w:p>
    <w:p w14:paraId="1B63D21A" w14:textId="77777777" w:rsidR="00181022" w:rsidRDefault="008D78FB">
      <w:pPr>
        <w:pStyle w:val="BodyText"/>
        <w:spacing w:before="1"/>
        <w:ind w:left="241"/>
        <w:jc w:val="both"/>
      </w:pPr>
      <w:r>
        <w:t>Também lhe irá ser pedido que concor</w:t>
      </w:r>
      <w:r>
        <w:t>de em não beber qualquer sumo de toranja enquanto toma colchicina.</w:t>
      </w:r>
    </w:p>
    <w:p w14:paraId="4978FAAA" w14:textId="77777777" w:rsidR="00181022" w:rsidRDefault="00181022">
      <w:pPr>
        <w:pStyle w:val="BodyText"/>
        <w:spacing w:before="4"/>
        <w:rPr>
          <w:sz w:val="24"/>
        </w:rPr>
      </w:pPr>
    </w:p>
    <w:p w14:paraId="41351BB5" w14:textId="77777777" w:rsidR="00181022" w:rsidRDefault="008D78FB">
      <w:pPr>
        <w:pStyle w:val="Heading3"/>
        <w:spacing w:line="283" w:lineRule="auto"/>
        <w:ind w:left="241" w:right="372"/>
        <w:jc w:val="both"/>
      </w:pPr>
      <w:r>
        <w:t>Um enfermeiro ou médico registado irá analisar as suas respostas a estas perguntas de inclusão relativamente a informações obtidas a partir dos seus registos médicos para verificar se pod</w:t>
      </w:r>
      <w:r>
        <w:t>e realizar o tratamento, assim que estiver conﬁrmado será incluído no ensaio.</w:t>
      </w:r>
    </w:p>
    <w:p w14:paraId="73296D6F" w14:textId="77777777" w:rsidR="00181022" w:rsidRDefault="00181022">
      <w:pPr>
        <w:pStyle w:val="BodyText"/>
        <w:rPr>
          <w:b/>
          <w:sz w:val="22"/>
        </w:rPr>
      </w:pPr>
    </w:p>
    <w:p w14:paraId="175824D3" w14:textId="77777777" w:rsidR="00181022" w:rsidRDefault="008D78FB">
      <w:pPr>
        <w:spacing w:before="173"/>
        <w:ind w:left="104"/>
        <w:rPr>
          <w:b/>
          <w:sz w:val="23"/>
        </w:rPr>
      </w:pPr>
      <w:r>
        <w:rPr>
          <w:b/>
          <w:sz w:val="23"/>
        </w:rPr>
        <w:t>Contraceção</w:t>
      </w:r>
    </w:p>
    <w:p w14:paraId="2B8982E7" w14:textId="77777777" w:rsidR="00181022" w:rsidRDefault="008D78FB">
      <w:pPr>
        <w:pStyle w:val="Heading3"/>
        <w:spacing w:before="171"/>
      </w:pPr>
      <w:r>
        <w:t>É importante que as mulheres com potencial de engravidar usem contraceptivos altamente efetivos desde</w:t>
      </w:r>
    </w:p>
    <w:p w14:paraId="556F9FFF" w14:textId="77777777" w:rsidR="00181022" w:rsidRDefault="008D78FB">
      <w:pPr>
        <w:spacing w:before="62"/>
        <w:ind w:left="104"/>
        <w:rPr>
          <w:b/>
          <w:sz w:val="23"/>
        </w:rPr>
      </w:pPr>
      <w:r>
        <w:rPr>
          <w:b/>
          <w:sz w:val="23"/>
        </w:rPr>
        <w:t>a inclusão até ao 28º dia de acompanhamento.</w:t>
      </w:r>
    </w:p>
    <w:p w14:paraId="3659EFCD" w14:textId="77777777" w:rsidR="00181022" w:rsidRDefault="00181022">
      <w:pPr>
        <w:pStyle w:val="BodyText"/>
        <w:rPr>
          <w:b/>
          <w:sz w:val="22"/>
        </w:rPr>
      </w:pPr>
    </w:p>
    <w:p w14:paraId="3351501C" w14:textId="77777777" w:rsidR="00181022" w:rsidRDefault="00181022">
      <w:pPr>
        <w:pStyle w:val="BodyText"/>
        <w:spacing w:before="1"/>
        <w:rPr>
          <w:b/>
          <w:sz w:val="20"/>
        </w:rPr>
      </w:pPr>
    </w:p>
    <w:p w14:paraId="517B0455" w14:textId="77777777" w:rsidR="00181022" w:rsidRDefault="008D78FB">
      <w:pPr>
        <w:pStyle w:val="Heading3"/>
        <w:jc w:val="both"/>
      </w:pPr>
      <w:r>
        <w:t>Os métodos contracetivos aceitáveis para utilização no ensaio incluem os seguintes:</w:t>
      </w:r>
    </w:p>
    <w:p w14:paraId="776219A0" w14:textId="77777777" w:rsidR="00181022" w:rsidRDefault="008D78FB">
      <w:pPr>
        <w:pStyle w:val="BodyText"/>
        <w:spacing w:before="118" w:line="290" w:lineRule="auto"/>
        <w:ind w:left="241" w:right="369"/>
        <w:jc w:val="both"/>
      </w:pPr>
      <w:r>
        <w:t>O implante, a bobina, e</w:t>
      </w:r>
      <w:r>
        <w:t xml:space="preserve"> a esterilização masculina ou feminina serão aceitáveis para participar no ensaio. A injeção e a maioria das formas de contracetivos hormonais serão também consideradas aceitáveis para o ensaio, se utilizadas combinadas com preservativos ou outros métodos </w:t>
      </w:r>
      <w:r>
        <w:t>de barreira. No entanto, os preservativos por si só não serão suficientes durante o estudo. Pode discutir com a equipa do ensaio, quaisquer questões que possa ter sobre contraceção durante o período do estudo. Se engravidar durante o ensaio, deve informar-</w:t>
      </w:r>
      <w:r>
        <w:t>nos imediatamente e será retirada do estudo, embora lhe peçamos para a acompanharmos devido a razões de segurança.</w:t>
      </w:r>
    </w:p>
    <w:p w14:paraId="097E0CC9" w14:textId="77777777" w:rsidR="00181022" w:rsidRDefault="008D78FB">
      <w:pPr>
        <w:pStyle w:val="Heading3"/>
        <w:spacing w:before="60"/>
        <w:ind w:left="241"/>
        <w:jc w:val="both"/>
      </w:pPr>
      <w:r>
        <w:t>É importante notar que um método de barreira, por si só, não é suficiente</w:t>
      </w:r>
    </w:p>
    <w:p w14:paraId="4974696A" w14:textId="77777777" w:rsidR="00181022" w:rsidRDefault="00181022">
      <w:pPr>
        <w:pStyle w:val="BodyText"/>
        <w:spacing w:before="4"/>
        <w:rPr>
          <w:b/>
          <w:sz w:val="17"/>
        </w:rPr>
      </w:pPr>
    </w:p>
    <w:p w14:paraId="11FCEB3E" w14:textId="77777777" w:rsidR="00181022" w:rsidRDefault="008D78FB">
      <w:pPr>
        <w:pStyle w:val="Heading4"/>
        <w:ind w:left="294"/>
      </w:pPr>
      <w:r>
        <w:t>Efeitos secundários</w:t>
      </w:r>
    </w:p>
    <w:p w14:paraId="2ED953EF" w14:textId="77777777" w:rsidR="00181022" w:rsidRDefault="008D78FB">
      <w:pPr>
        <w:pStyle w:val="BodyText"/>
        <w:spacing w:before="118" w:line="288" w:lineRule="auto"/>
        <w:ind w:left="241" w:right="370"/>
      </w:pPr>
      <w:r>
        <w:t>Abaixo, listamos alguns possíveis efeitos sec</w:t>
      </w:r>
      <w:r>
        <w:t xml:space="preserve">undários da colchicina. Iremos pedir-lhe que registe </w:t>
      </w:r>
      <w:r>
        <w:lastRenderedPageBreak/>
        <w:t>no seu diário se sente algum destes sintomas. Irá também receber uma chamada telefónica da</w:t>
      </w:r>
    </w:p>
    <w:p w14:paraId="6275CA52" w14:textId="77777777" w:rsidR="00181022" w:rsidRDefault="00181022">
      <w:pPr>
        <w:spacing w:line="288" w:lineRule="auto"/>
        <w:sectPr w:rsidR="00181022">
          <w:headerReference w:type="default" r:id="rId11"/>
          <w:footerReference w:type="default" r:id="rId12"/>
          <w:pgSz w:w="11910" w:h="16840"/>
          <w:pgMar w:top="1600" w:right="1020" w:bottom="1400" w:left="1160" w:header="0" w:footer="1215" w:gutter="0"/>
          <w:cols w:space="720"/>
        </w:sectPr>
      </w:pPr>
    </w:p>
    <w:p w14:paraId="5BDF851A" w14:textId="77777777" w:rsidR="00181022" w:rsidRDefault="00181022">
      <w:pPr>
        <w:pStyle w:val="BodyText"/>
        <w:rPr>
          <w:sz w:val="20"/>
        </w:rPr>
      </w:pPr>
    </w:p>
    <w:p w14:paraId="29022411" w14:textId="77777777" w:rsidR="00181022" w:rsidRDefault="00181022">
      <w:pPr>
        <w:pStyle w:val="BodyText"/>
        <w:spacing w:before="1"/>
        <w:rPr>
          <w:sz w:val="18"/>
        </w:rPr>
      </w:pPr>
    </w:p>
    <w:p w14:paraId="522E700C" w14:textId="77777777" w:rsidR="00181022" w:rsidRDefault="008D78FB">
      <w:pPr>
        <w:pStyle w:val="BodyText"/>
        <w:spacing w:before="56" w:line="290" w:lineRule="auto"/>
        <w:ind w:left="241" w:right="373"/>
        <w:jc w:val="both"/>
      </w:pPr>
      <w:r>
        <w:t>equipa do estudo no Dia 3 para verificar se recebeu o seu kit de participante e para responder a quaisquer perguntas que possa ter. Também iremos perguntar-lhe, quantos comprimidos de colchicina lhe restam no seu diário.</w:t>
      </w:r>
    </w:p>
    <w:p w14:paraId="5A8D6E53" w14:textId="77777777" w:rsidR="00181022" w:rsidRDefault="00181022">
      <w:pPr>
        <w:pStyle w:val="BodyText"/>
        <w:rPr>
          <w:sz w:val="22"/>
        </w:rPr>
      </w:pPr>
    </w:p>
    <w:p w14:paraId="7ECE4A8E" w14:textId="77777777" w:rsidR="00181022" w:rsidRDefault="008D78FB">
      <w:pPr>
        <w:pStyle w:val="Heading3"/>
        <w:spacing w:before="186"/>
        <w:ind w:left="241"/>
      </w:pPr>
      <w:r>
        <w:t>Efeitos secundários que possam est</w:t>
      </w:r>
      <w:r>
        <w:t>ar associadas a colchicina:</w:t>
      </w:r>
    </w:p>
    <w:p w14:paraId="4B0F12B6" w14:textId="77777777" w:rsidR="00181022" w:rsidRDefault="008D78FB">
      <w:pPr>
        <w:pStyle w:val="BodyText"/>
        <w:spacing w:before="115"/>
        <w:ind w:left="241"/>
      </w:pPr>
      <w:r>
        <w:t>Os efeitos secundários frequentes são:</w:t>
      </w:r>
    </w:p>
    <w:p w14:paraId="1C4DA3F7" w14:textId="77777777" w:rsidR="00181022" w:rsidRDefault="008D78FB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before="175"/>
        <w:ind w:hanging="352"/>
        <w:jc w:val="left"/>
        <w:rPr>
          <w:sz w:val="23"/>
        </w:rPr>
      </w:pPr>
      <w:r>
        <w:rPr>
          <w:sz w:val="23"/>
        </w:rPr>
        <w:t>Dor abdominal</w:t>
      </w:r>
    </w:p>
    <w:p w14:paraId="6997F805" w14:textId="77777777" w:rsidR="00181022" w:rsidRDefault="008D78FB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before="2"/>
        <w:ind w:hanging="352"/>
        <w:jc w:val="left"/>
        <w:rPr>
          <w:i/>
          <w:sz w:val="23"/>
        </w:rPr>
      </w:pPr>
      <w:r>
        <w:rPr>
          <w:sz w:val="23"/>
        </w:rPr>
        <w:t>Diarreia</w:t>
      </w:r>
      <w:r>
        <w:rPr>
          <w:i/>
          <w:sz w:val="23"/>
        </w:rPr>
        <w:t>*</w:t>
      </w:r>
    </w:p>
    <w:p w14:paraId="0612C7FD" w14:textId="77777777" w:rsidR="00181022" w:rsidRDefault="008D78FB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before="7"/>
        <w:ind w:hanging="352"/>
        <w:jc w:val="left"/>
        <w:rPr>
          <w:sz w:val="23"/>
        </w:rPr>
      </w:pPr>
      <w:r>
        <w:rPr>
          <w:sz w:val="23"/>
        </w:rPr>
        <w:t>Náuseas</w:t>
      </w:r>
    </w:p>
    <w:p w14:paraId="198EE52B" w14:textId="77777777" w:rsidR="00181022" w:rsidRDefault="008D78FB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spacing w:before="5"/>
        <w:ind w:hanging="352"/>
        <w:jc w:val="left"/>
        <w:rPr>
          <w:sz w:val="23"/>
        </w:rPr>
      </w:pPr>
      <w:r>
        <w:rPr>
          <w:sz w:val="23"/>
        </w:rPr>
        <w:t>Vómitos</w:t>
      </w:r>
    </w:p>
    <w:p w14:paraId="19FA5533" w14:textId="77777777" w:rsidR="00181022" w:rsidRDefault="00181022">
      <w:pPr>
        <w:pStyle w:val="BodyText"/>
        <w:spacing w:before="7"/>
      </w:pPr>
    </w:p>
    <w:p w14:paraId="33A3504F" w14:textId="77777777" w:rsidR="00181022" w:rsidRDefault="008D78FB">
      <w:pPr>
        <w:pStyle w:val="BodyText"/>
        <w:ind w:left="241"/>
      </w:pPr>
      <w:r>
        <w:t>*efeitos secundários também observados com a COVID-19</w:t>
      </w:r>
    </w:p>
    <w:p w14:paraId="1B4CA4D1" w14:textId="77777777" w:rsidR="00181022" w:rsidRDefault="00181022">
      <w:pPr>
        <w:pStyle w:val="BodyText"/>
        <w:spacing w:before="6"/>
        <w:rPr>
          <w:sz w:val="19"/>
        </w:rPr>
      </w:pPr>
    </w:p>
    <w:p w14:paraId="665BAFA7" w14:textId="77777777" w:rsidR="00181022" w:rsidRDefault="008D78FB">
      <w:pPr>
        <w:pStyle w:val="BodyText"/>
        <w:ind w:left="241"/>
      </w:pPr>
      <w:r>
        <w:t>Efeitos secundários raros que possam estar associadas a colchicina:</w:t>
      </w:r>
    </w:p>
    <w:p w14:paraId="666E8FAE" w14:textId="77777777" w:rsidR="00181022" w:rsidRDefault="00181022">
      <w:pPr>
        <w:pStyle w:val="BodyText"/>
        <w:spacing w:before="8"/>
        <w:rPr>
          <w:sz w:val="19"/>
        </w:rPr>
      </w:pPr>
    </w:p>
    <w:p w14:paraId="3A8AE346" w14:textId="77777777" w:rsidR="00181022" w:rsidRDefault="008D78FB">
      <w:pPr>
        <w:pStyle w:val="BodyText"/>
        <w:spacing w:line="244" w:lineRule="auto"/>
        <w:ind w:left="241" w:right="373"/>
        <w:jc w:val="both"/>
      </w:pPr>
      <w:r>
        <w:t>Baixa contagem de glóbulos brancos; queda de cabelo; distúrbios da medula óssea; hemorragia gastrointestinal; lesões renais; lesões hepáticas; irregularidades do ciclo menstrual; doença d</w:t>
      </w:r>
      <w:r>
        <w:t>o tecido muscular; distúrbios nervosos; erupção cutânea; anomalias do esperma; baixa contagem de plaquetas sanguíneas.</w:t>
      </w:r>
    </w:p>
    <w:sectPr w:rsidR="00181022">
      <w:headerReference w:type="default" r:id="rId13"/>
      <w:footerReference w:type="default" r:id="rId14"/>
      <w:pgSz w:w="11910" w:h="16840"/>
      <w:pgMar w:top="1600" w:right="1020" w:bottom="1400" w:left="1160" w:header="0" w:footer="1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A2A04" w14:textId="77777777" w:rsidR="00000000" w:rsidRDefault="008D78FB">
      <w:r>
        <w:separator/>
      </w:r>
    </w:p>
  </w:endnote>
  <w:endnote w:type="continuationSeparator" w:id="0">
    <w:p w14:paraId="399A9D2B" w14:textId="77777777" w:rsidR="00000000" w:rsidRDefault="008D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1A4BF" w14:textId="77777777" w:rsidR="00181022" w:rsidRDefault="008D78FB">
    <w:pPr>
      <w:pStyle w:val="BodyText"/>
      <w:spacing w:line="14" w:lineRule="auto"/>
      <w:rPr>
        <w:sz w:val="20"/>
      </w:rPr>
    </w:pPr>
    <w:r>
      <w:pict w14:anchorId="6AA808D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67.85pt;margin-top:735.2pt;width:332.4pt;height:28.6pt;z-index:-15813632;mso-position-horizontal-relative:page;mso-position-vertical-relative:page" filled="f" stroked="f">
          <v:textbox inset="0,0,0,0">
            <w:txbxContent>
              <w:p w14:paraId="51ED9720" w14:textId="354C277C" w:rsidR="00181022" w:rsidRPr="008D78FB" w:rsidRDefault="008D78FB">
                <w:pPr>
                  <w:spacing w:line="178" w:lineRule="exact"/>
                  <w:ind w:left="20"/>
                  <w:rPr>
                    <w:sz w:val="15"/>
                  </w:rPr>
                </w:pPr>
                <w:r w:rsidRPr="008D78FB">
                  <w:rPr>
                    <w:rFonts w:eastAsiaTheme="minorHAnsi"/>
                    <w:sz w:val="16"/>
                    <w:szCs w:val="16"/>
                  </w:rPr>
                  <w:t>PRINCIPLE PIS Appendices v2.0 19-Feb-2021 REC No.20/SC/0158 IRAS No: 281958</w:t>
                </w:r>
                <w:r w:rsidRPr="008D78FB">
                  <w:rPr>
                    <w:rFonts w:eastAsiaTheme="minorHAnsi"/>
                    <w:sz w:val="16"/>
                    <w:szCs w:val="16"/>
                  </w:rPr>
                  <w:t xml:space="preserve"> PO</w:t>
                </w:r>
                <w:r>
                  <w:rPr>
                    <w:rFonts w:eastAsiaTheme="minorHAnsi"/>
                    <w:sz w:val="16"/>
                    <w:szCs w:val="16"/>
                  </w:rPr>
                  <w:t>RTUGUESE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135E0" w14:textId="77777777" w:rsidR="00181022" w:rsidRDefault="008D78FB">
    <w:pPr>
      <w:pStyle w:val="BodyText"/>
      <w:spacing w:line="14" w:lineRule="auto"/>
      <w:rPr>
        <w:sz w:val="20"/>
      </w:rPr>
    </w:pPr>
    <w:r>
      <w:pict w14:anchorId="1DE76D7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7.85pt;margin-top:770.25pt;width:342.15pt;height:27.75pt;z-index:-15812608;mso-position-horizontal-relative:page;mso-position-vertical-relative:page" filled="f" stroked="f">
          <v:textbox style="mso-next-textbox:#_x0000_s1027" inset="0,0,0,0">
            <w:txbxContent>
              <w:p w14:paraId="117036F2" w14:textId="30950825" w:rsidR="00181022" w:rsidRDefault="008D78FB">
                <w:pPr>
                  <w:spacing w:line="178" w:lineRule="exact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>FID DO PRINCIPLE Anexos v2.0 19-Fev-2021 REC N.º 20/SC/0158 IRAS N.º: 281958 PORTUGUESE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FEA7E" w14:textId="77777777" w:rsidR="00181022" w:rsidRDefault="008D78FB">
    <w:pPr>
      <w:pStyle w:val="BodyText"/>
      <w:spacing w:line="14" w:lineRule="auto"/>
      <w:rPr>
        <w:sz w:val="20"/>
      </w:rPr>
    </w:pPr>
    <w:r>
      <w:pict w14:anchorId="52601C6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7.85pt;margin-top:770.25pt;width:309.9pt;height:27pt;z-index:-15812096;mso-position-horizontal-relative:page;mso-position-vertical-relative:page" filled="f" stroked="f">
          <v:textbox inset="0,0,0,0">
            <w:txbxContent>
              <w:p w14:paraId="12CD1769" w14:textId="510CA6DC" w:rsidR="00181022" w:rsidRDefault="008D78FB">
                <w:pPr>
                  <w:spacing w:line="178" w:lineRule="exact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 xml:space="preserve">FID </w:t>
                </w:r>
                <w:r>
                  <w:rPr>
                    <w:sz w:val="15"/>
                  </w:rPr>
                  <w:t>DO PRINCIPLE Anexos v2.0 19-Fev-2021 REC N.º 20/SC/0158 IRAS N.º: 281958 PORTUGUESE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0E4A1" w14:textId="77777777" w:rsidR="00181022" w:rsidRDefault="008D78FB">
    <w:pPr>
      <w:pStyle w:val="BodyText"/>
      <w:spacing w:line="14" w:lineRule="auto"/>
      <w:rPr>
        <w:sz w:val="20"/>
      </w:rPr>
    </w:pPr>
    <w:r>
      <w:pict w14:anchorId="4C2EFD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7.85pt;margin-top:770.25pt;width:318.5pt;height:29.25pt;z-index:-15811584;mso-position-horizontal-relative:page;mso-position-vertical-relative:page" filled="f" stroked="f">
          <v:textbox inset="0,0,0,0">
            <w:txbxContent>
              <w:p w14:paraId="02C9E961" w14:textId="7FE1A213" w:rsidR="00181022" w:rsidRDefault="008D78FB">
                <w:pPr>
                  <w:spacing w:line="178" w:lineRule="exact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 xml:space="preserve">FID </w:t>
                </w:r>
                <w:r>
                  <w:rPr>
                    <w:sz w:val="15"/>
                  </w:rPr>
                  <w:t>DO PRINCIPLE Anexos v2.0 19-Fev-2021 REC N.º 20/SC/0158 IRAS N.º: 281958 PORTUGUESE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DBED4" w14:textId="77777777" w:rsidR="00000000" w:rsidRDefault="008D78FB">
      <w:r>
        <w:separator/>
      </w:r>
    </w:p>
  </w:footnote>
  <w:footnote w:type="continuationSeparator" w:id="0">
    <w:p w14:paraId="4E763C93" w14:textId="77777777" w:rsidR="00000000" w:rsidRDefault="008D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FCB77" w14:textId="77777777" w:rsidR="00181022" w:rsidRDefault="008D78FB">
    <w:pPr>
      <w:pStyle w:val="BodyText"/>
      <w:spacing w:line="14" w:lineRule="auto"/>
      <w:rPr>
        <w:sz w:val="20"/>
      </w:rPr>
    </w:pPr>
    <w:r>
      <w:pict w14:anchorId="246C528F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60.6pt;margin-top:122.25pt;width:76.45pt;height:17.55pt;z-index:-15814144;mso-position-horizontal-relative:page;mso-position-vertical-relative:page" filled="f" stroked="f">
          <v:textbox inset="0,0,0,0">
            <w:txbxContent>
              <w:p w14:paraId="41C7AB25" w14:textId="77777777" w:rsidR="00181022" w:rsidRDefault="008D78FB">
                <w:pPr>
                  <w:spacing w:line="336" w:lineRule="exact"/>
                  <w:ind w:left="20"/>
                  <w:rPr>
                    <w:b/>
                    <w:i/>
                    <w:sz w:val="31"/>
                  </w:rPr>
                </w:pPr>
                <w:r>
                  <w:rPr>
                    <w:b/>
                    <w:i/>
                    <w:color w:val="4475A0"/>
                    <w:sz w:val="31"/>
                  </w:rPr>
                  <w:t xml:space="preserve">Anexo </w:t>
                </w:r>
                <w:r>
                  <w:fldChar w:fldCharType="begin"/>
                </w:r>
                <w:r>
                  <w:rPr>
                    <w:b/>
                    <w:i/>
                    <w:color w:val="4475A0"/>
                    <w:sz w:val="3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0739D" w14:textId="77777777" w:rsidR="00181022" w:rsidRDefault="008D78FB">
    <w:pPr>
      <w:pStyle w:val="BodyText"/>
      <w:spacing w:line="14" w:lineRule="auto"/>
      <w:rPr>
        <w:sz w:val="20"/>
      </w:rPr>
    </w:pPr>
    <w:r>
      <w:pict w14:anchorId="4B69337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60.6pt;margin-top:107.95pt;width:76.45pt;height:17.55pt;z-index:-15813120;mso-position-horizontal-relative:page;mso-position-vertical-relative:page" filled="f" stroked="f">
          <v:textbox style="mso-next-textbox:#_x0000_s1028" inset="0,0,0,0">
            <w:txbxContent>
              <w:p w14:paraId="76C0E7BB" w14:textId="77777777" w:rsidR="00181022" w:rsidRDefault="008D78FB">
                <w:pPr>
                  <w:spacing w:line="336" w:lineRule="exact"/>
                  <w:ind w:left="20"/>
                  <w:rPr>
                    <w:b/>
                    <w:i/>
                    <w:sz w:val="31"/>
                  </w:rPr>
                </w:pPr>
                <w:r>
                  <w:rPr>
                    <w:b/>
                    <w:i/>
                    <w:color w:val="1F4E79"/>
                    <w:sz w:val="31"/>
                  </w:rPr>
                  <w:t xml:space="preserve">Anexo </w:t>
                </w:r>
                <w:r>
                  <w:fldChar w:fldCharType="begin"/>
                </w:r>
                <w:r>
                  <w:rPr>
                    <w:b/>
                    <w:i/>
                    <w:color w:val="1F4E79"/>
                    <w:sz w:val="3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A4457" w14:textId="77777777" w:rsidR="00181022" w:rsidRDefault="00181022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2E3A6" w14:textId="77777777" w:rsidR="00181022" w:rsidRDefault="0018102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E2A26"/>
    <w:multiLevelType w:val="hybridMultilevel"/>
    <w:tmpl w:val="5EEAB60C"/>
    <w:lvl w:ilvl="0" w:tplc="5EFEB466">
      <w:numFmt w:val="bullet"/>
      <w:lvlText w:val=""/>
      <w:lvlJc w:val="left"/>
      <w:pPr>
        <w:ind w:left="942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265E4288">
      <w:numFmt w:val="bullet"/>
      <w:lvlText w:val="•"/>
      <w:lvlJc w:val="left"/>
      <w:pPr>
        <w:ind w:left="1818" w:hanging="351"/>
      </w:pPr>
      <w:rPr>
        <w:rFonts w:hint="default"/>
        <w:lang w:val="en-US" w:eastAsia="en-US" w:bidi="ar-SA"/>
      </w:rPr>
    </w:lvl>
    <w:lvl w:ilvl="2" w:tplc="B57AC196">
      <w:numFmt w:val="bullet"/>
      <w:lvlText w:val="•"/>
      <w:lvlJc w:val="left"/>
      <w:pPr>
        <w:ind w:left="2696" w:hanging="351"/>
      </w:pPr>
      <w:rPr>
        <w:rFonts w:hint="default"/>
        <w:lang w:val="en-US" w:eastAsia="en-US" w:bidi="ar-SA"/>
      </w:rPr>
    </w:lvl>
    <w:lvl w:ilvl="3" w:tplc="3D00B924">
      <w:numFmt w:val="bullet"/>
      <w:lvlText w:val="•"/>
      <w:lvlJc w:val="left"/>
      <w:pPr>
        <w:ind w:left="3575" w:hanging="351"/>
      </w:pPr>
      <w:rPr>
        <w:rFonts w:hint="default"/>
        <w:lang w:val="en-US" w:eastAsia="en-US" w:bidi="ar-SA"/>
      </w:rPr>
    </w:lvl>
    <w:lvl w:ilvl="4" w:tplc="14C653F6">
      <w:numFmt w:val="bullet"/>
      <w:lvlText w:val="•"/>
      <w:lvlJc w:val="left"/>
      <w:pPr>
        <w:ind w:left="4453" w:hanging="351"/>
      </w:pPr>
      <w:rPr>
        <w:rFonts w:hint="default"/>
        <w:lang w:val="en-US" w:eastAsia="en-US" w:bidi="ar-SA"/>
      </w:rPr>
    </w:lvl>
    <w:lvl w:ilvl="5" w:tplc="8E247C4A">
      <w:numFmt w:val="bullet"/>
      <w:lvlText w:val="•"/>
      <w:lvlJc w:val="left"/>
      <w:pPr>
        <w:ind w:left="5332" w:hanging="351"/>
      </w:pPr>
      <w:rPr>
        <w:rFonts w:hint="default"/>
        <w:lang w:val="en-US" w:eastAsia="en-US" w:bidi="ar-SA"/>
      </w:rPr>
    </w:lvl>
    <w:lvl w:ilvl="6" w:tplc="A6B87862">
      <w:numFmt w:val="bullet"/>
      <w:lvlText w:val="•"/>
      <w:lvlJc w:val="left"/>
      <w:pPr>
        <w:ind w:left="6210" w:hanging="351"/>
      </w:pPr>
      <w:rPr>
        <w:rFonts w:hint="default"/>
        <w:lang w:val="en-US" w:eastAsia="en-US" w:bidi="ar-SA"/>
      </w:rPr>
    </w:lvl>
    <w:lvl w:ilvl="7" w:tplc="CBC25D5E">
      <w:numFmt w:val="bullet"/>
      <w:lvlText w:val="•"/>
      <w:lvlJc w:val="left"/>
      <w:pPr>
        <w:ind w:left="7089" w:hanging="351"/>
      </w:pPr>
      <w:rPr>
        <w:rFonts w:hint="default"/>
        <w:lang w:val="en-US" w:eastAsia="en-US" w:bidi="ar-SA"/>
      </w:rPr>
    </w:lvl>
    <w:lvl w:ilvl="8" w:tplc="7632D77E">
      <w:numFmt w:val="bullet"/>
      <w:lvlText w:val="•"/>
      <w:lvlJc w:val="left"/>
      <w:pPr>
        <w:ind w:left="7967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7F3901E7"/>
    <w:multiLevelType w:val="hybridMultilevel"/>
    <w:tmpl w:val="40042890"/>
    <w:lvl w:ilvl="0" w:tplc="782EF17E">
      <w:numFmt w:val="bullet"/>
      <w:lvlText w:val="•"/>
      <w:lvlJc w:val="left"/>
      <w:pPr>
        <w:ind w:left="942" w:hanging="351"/>
      </w:pPr>
      <w:rPr>
        <w:rFonts w:ascii="Calibri" w:eastAsia="Calibri" w:hAnsi="Calibri" w:cs="Calibri" w:hint="default"/>
        <w:w w:val="101"/>
        <w:sz w:val="23"/>
        <w:szCs w:val="23"/>
        <w:lang w:val="en-US" w:eastAsia="en-US" w:bidi="ar-SA"/>
      </w:rPr>
    </w:lvl>
    <w:lvl w:ilvl="1" w:tplc="0DB402E6">
      <w:numFmt w:val="bullet"/>
      <w:lvlText w:val="•"/>
      <w:lvlJc w:val="left"/>
      <w:pPr>
        <w:ind w:left="1818" w:hanging="351"/>
      </w:pPr>
      <w:rPr>
        <w:rFonts w:hint="default"/>
        <w:lang w:val="en-US" w:eastAsia="en-US" w:bidi="ar-SA"/>
      </w:rPr>
    </w:lvl>
    <w:lvl w:ilvl="2" w:tplc="B37E9538">
      <w:numFmt w:val="bullet"/>
      <w:lvlText w:val="•"/>
      <w:lvlJc w:val="left"/>
      <w:pPr>
        <w:ind w:left="2696" w:hanging="351"/>
      </w:pPr>
      <w:rPr>
        <w:rFonts w:hint="default"/>
        <w:lang w:val="en-US" w:eastAsia="en-US" w:bidi="ar-SA"/>
      </w:rPr>
    </w:lvl>
    <w:lvl w:ilvl="3" w:tplc="FBD0E3B6">
      <w:numFmt w:val="bullet"/>
      <w:lvlText w:val="•"/>
      <w:lvlJc w:val="left"/>
      <w:pPr>
        <w:ind w:left="3575" w:hanging="351"/>
      </w:pPr>
      <w:rPr>
        <w:rFonts w:hint="default"/>
        <w:lang w:val="en-US" w:eastAsia="en-US" w:bidi="ar-SA"/>
      </w:rPr>
    </w:lvl>
    <w:lvl w:ilvl="4" w:tplc="4168ADD4">
      <w:numFmt w:val="bullet"/>
      <w:lvlText w:val="•"/>
      <w:lvlJc w:val="left"/>
      <w:pPr>
        <w:ind w:left="4453" w:hanging="351"/>
      </w:pPr>
      <w:rPr>
        <w:rFonts w:hint="default"/>
        <w:lang w:val="en-US" w:eastAsia="en-US" w:bidi="ar-SA"/>
      </w:rPr>
    </w:lvl>
    <w:lvl w:ilvl="5" w:tplc="11925CD2">
      <w:numFmt w:val="bullet"/>
      <w:lvlText w:val="•"/>
      <w:lvlJc w:val="left"/>
      <w:pPr>
        <w:ind w:left="5332" w:hanging="351"/>
      </w:pPr>
      <w:rPr>
        <w:rFonts w:hint="default"/>
        <w:lang w:val="en-US" w:eastAsia="en-US" w:bidi="ar-SA"/>
      </w:rPr>
    </w:lvl>
    <w:lvl w:ilvl="6" w:tplc="675E143A">
      <w:numFmt w:val="bullet"/>
      <w:lvlText w:val="•"/>
      <w:lvlJc w:val="left"/>
      <w:pPr>
        <w:ind w:left="6210" w:hanging="351"/>
      </w:pPr>
      <w:rPr>
        <w:rFonts w:hint="default"/>
        <w:lang w:val="en-US" w:eastAsia="en-US" w:bidi="ar-SA"/>
      </w:rPr>
    </w:lvl>
    <w:lvl w:ilvl="7" w:tplc="5E2405EA">
      <w:numFmt w:val="bullet"/>
      <w:lvlText w:val="•"/>
      <w:lvlJc w:val="left"/>
      <w:pPr>
        <w:ind w:left="7089" w:hanging="351"/>
      </w:pPr>
      <w:rPr>
        <w:rFonts w:hint="default"/>
        <w:lang w:val="en-US" w:eastAsia="en-US" w:bidi="ar-SA"/>
      </w:rPr>
    </w:lvl>
    <w:lvl w:ilvl="8" w:tplc="555654C4">
      <w:numFmt w:val="bullet"/>
      <w:lvlText w:val="•"/>
      <w:lvlJc w:val="left"/>
      <w:pPr>
        <w:ind w:left="7967" w:hanging="35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022"/>
    <w:rsid w:val="00181022"/>
    <w:rsid w:val="008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5DAE7"/>
  <w15:docId w15:val="{AC3CE9F1-ED37-4304-BA38-30441AE0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i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48"/>
      <w:ind w:left="241"/>
      <w:outlineLvl w:val="1"/>
    </w:pPr>
    <w:rPr>
      <w:b/>
      <w:bCs/>
      <w:i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104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uiPriority w:val="9"/>
    <w:unhideWhenUsed/>
    <w:qFormat/>
    <w:pPr>
      <w:ind w:left="241"/>
      <w:outlineLvl w:val="3"/>
    </w:pPr>
    <w:rPr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42" w:hanging="3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78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8F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78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8F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PRINCIPLE PIS Appendices_ v2.0 19.02.2021_clean.docx</dc:title>
  <dc:creator>rbrice</dc:creator>
  <cp:lastModifiedBy>Stacy Velasco</cp:lastModifiedBy>
  <cp:revision>2</cp:revision>
  <dcterms:created xsi:type="dcterms:W3CDTF">2021-03-01T14:14:00Z</dcterms:created>
  <dcterms:modified xsi:type="dcterms:W3CDTF">2021-03-08T15:25:00Z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2021-03-01T00:00:00Z</vt:filetime>
  </property>
</Properties>
</file>